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10F" w:rsidRDefault="00FE010F" w:rsidP="00FE010F">
      <w:pPr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</w:rPr>
        <w:t xml:space="preserve">Travel Marketing </w:t>
      </w:r>
      <w:proofErr w:type="spellStart"/>
      <w:r>
        <w:rPr>
          <w:rFonts w:ascii="Arial" w:hAnsi="Arial" w:cs="Arial"/>
          <w:i/>
          <w:iCs/>
        </w:rPr>
        <w:t>Days</w:t>
      </w:r>
      <w:proofErr w:type="spellEnd"/>
      <w:r>
        <w:rPr>
          <w:rFonts w:ascii="Arial" w:hAnsi="Arial" w:cs="Arial"/>
          <w:i/>
          <w:iCs/>
        </w:rPr>
        <w:t>: ospiti e relatori d’eccezione dal 22 novembre</w:t>
      </w:r>
    </w:p>
    <w:p w:rsidR="00FE010F" w:rsidRDefault="00FE010F" w:rsidP="00FE010F">
      <w:pPr>
        <w:rPr>
          <w:rFonts w:ascii="Calibri" w:hAnsi="Calibri" w:cs="Calibri"/>
        </w:rPr>
      </w:pPr>
    </w:p>
    <w:p w:rsidR="00FE010F" w:rsidRDefault="00FE010F" w:rsidP="00FE010F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 Genova i big nazionali del marketing turistico</w:t>
      </w:r>
    </w:p>
    <w:p w:rsidR="00FE010F" w:rsidRDefault="00FE010F" w:rsidP="00FE010F">
      <w:pPr>
        <w:rPr>
          <w:rFonts w:ascii="Arial" w:hAnsi="Arial" w:cs="Arial"/>
          <w:sz w:val="22"/>
          <w:szCs w:val="22"/>
        </w:rPr>
      </w:pPr>
    </w:p>
    <w:p w:rsidR="00FE010F" w:rsidRDefault="00FE010F" w:rsidP="00FE010F">
      <w:pPr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Il convegno </w:t>
      </w:r>
      <w:proofErr w:type="spellStart"/>
      <w:r>
        <w:rPr>
          <w:rFonts w:ascii="Arial" w:hAnsi="Arial" w:cs="Arial"/>
          <w:b/>
          <w:bCs/>
          <w:i/>
          <w:iCs/>
        </w:rPr>
        <w:t>Unicom</w:t>
      </w:r>
      <w:proofErr w:type="spellEnd"/>
      <w:r>
        <w:rPr>
          <w:rFonts w:ascii="Arial" w:hAnsi="Arial" w:cs="Arial"/>
          <w:b/>
          <w:bCs/>
          <w:i/>
          <w:iCs/>
        </w:rPr>
        <w:t xml:space="preserve"> con l’organizzazione di Studiowiki e la direzione scientifica di Roberta Milano</w:t>
      </w:r>
    </w:p>
    <w:p w:rsidR="00FE010F" w:rsidRDefault="00FE010F" w:rsidP="00FE010F">
      <w:pPr>
        <w:rPr>
          <w:rFonts w:ascii="Arial" w:hAnsi="Arial" w:cs="Arial"/>
        </w:rPr>
      </w:pPr>
    </w:p>
    <w:p w:rsidR="00FE010F" w:rsidRDefault="00FE010F" w:rsidP="00FE010F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I </w:t>
      </w:r>
      <w:r>
        <w:rPr>
          <w:rFonts w:ascii="Arial" w:hAnsi="Arial" w:cs="Arial"/>
          <w:b/>
          <w:bCs/>
        </w:rPr>
        <w:t xml:space="preserve">Travel Marketing </w:t>
      </w:r>
      <w:proofErr w:type="spellStart"/>
      <w:r>
        <w:rPr>
          <w:rFonts w:ascii="Arial" w:hAnsi="Arial" w:cs="Arial"/>
          <w:b/>
          <w:bCs/>
        </w:rPr>
        <w:t>Days</w:t>
      </w:r>
      <w:proofErr w:type="spellEnd"/>
      <w:r>
        <w:rPr>
          <w:rFonts w:ascii="Arial" w:hAnsi="Arial" w:cs="Arial"/>
          <w:b/>
          <w:bCs/>
        </w:rPr>
        <w:t>,</w:t>
      </w:r>
      <w:r>
        <w:rPr>
          <w:rFonts w:ascii="Arial" w:hAnsi="Arial" w:cs="Arial"/>
        </w:rPr>
        <w:t xml:space="preserve"> in programma a </w:t>
      </w:r>
      <w:r>
        <w:rPr>
          <w:rFonts w:ascii="Arial" w:hAnsi="Arial" w:cs="Arial"/>
          <w:b/>
          <w:bCs/>
        </w:rPr>
        <w:t>Genova dal 22 al 25 novembre</w:t>
      </w:r>
      <w:r>
        <w:rPr>
          <w:rFonts w:ascii="Arial" w:hAnsi="Arial" w:cs="Arial"/>
        </w:rPr>
        <w:t xml:space="preserve">, sono un evento che ha come tema principale il marketing del turismo, ogni anno declinato su differenti argomenti. Quest’anno sarà la volta dello </w:t>
      </w:r>
      <w:proofErr w:type="spellStart"/>
      <w:r>
        <w:rPr>
          <w:rFonts w:ascii="Arial" w:hAnsi="Arial" w:cs="Arial"/>
          <w:i/>
          <w:iCs/>
        </w:rPr>
        <w:t>storytelling</w:t>
      </w:r>
      <w:proofErr w:type="spellEnd"/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</w:rPr>
        <w:t xml:space="preserve">di destinazione: </w:t>
      </w:r>
      <w:r>
        <w:rPr>
          <w:rFonts w:ascii="Arial" w:hAnsi="Arial" w:cs="Arial"/>
          <w:b/>
          <w:bCs/>
          <w:i/>
          <w:iCs/>
        </w:rPr>
        <w:t>C’era una volta. Territorio, racconto, strategia.</w:t>
      </w:r>
    </w:p>
    <w:p w:rsidR="00FE010F" w:rsidRDefault="00FE010F" w:rsidP="00FE010F">
      <w:pPr>
        <w:rPr>
          <w:rFonts w:ascii="Arial" w:hAnsi="Arial" w:cs="Arial"/>
          <w:i/>
          <w:iCs/>
        </w:rPr>
      </w:pPr>
    </w:p>
    <w:p w:rsidR="00FE010F" w:rsidRDefault="00FE010F" w:rsidP="00FE010F">
      <w:pPr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Spiega </w:t>
      </w:r>
      <w:r>
        <w:rPr>
          <w:rFonts w:ascii="Arial" w:hAnsi="Arial" w:cs="Arial"/>
          <w:b/>
          <w:bCs/>
        </w:rPr>
        <w:t>Federico Alberto</w:t>
      </w:r>
      <w:r>
        <w:rPr>
          <w:rFonts w:ascii="Arial" w:hAnsi="Arial" w:cs="Arial"/>
        </w:rPr>
        <w:t xml:space="preserve">, consigliere </w:t>
      </w:r>
      <w:proofErr w:type="spellStart"/>
      <w:r>
        <w:rPr>
          <w:rFonts w:ascii="Arial" w:hAnsi="Arial" w:cs="Arial"/>
        </w:rPr>
        <w:t>Unicom</w:t>
      </w:r>
      <w:proofErr w:type="spellEnd"/>
      <w:r>
        <w:rPr>
          <w:rFonts w:ascii="Arial" w:hAnsi="Arial" w:cs="Arial"/>
        </w:rPr>
        <w:t xml:space="preserve"> e </w:t>
      </w:r>
      <w:proofErr w:type="spellStart"/>
      <w:r>
        <w:rPr>
          <w:rFonts w:ascii="Arial" w:hAnsi="Arial" w:cs="Arial"/>
        </w:rPr>
        <w:t>ceo</w:t>
      </w:r>
      <w:proofErr w:type="spellEnd"/>
      <w:r>
        <w:rPr>
          <w:rFonts w:ascii="Arial" w:hAnsi="Arial" w:cs="Arial"/>
        </w:rPr>
        <w:t xml:space="preserve"> Studiowiki: </w:t>
      </w:r>
      <w:r>
        <w:rPr>
          <w:rFonts w:ascii="Arial" w:hAnsi="Arial" w:cs="Arial"/>
          <w:i/>
          <w:iCs/>
        </w:rPr>
        <w:t>“Territorio: perché prima di iniziare a raccontare bisogna conoscere il contesto e gli elementi della nostra storia. Racconto: perché quegli elementi andranno organizzati in un unicum di struttura e significato. Strategia: perché il racconto andrà fatto conoscere al mondo”.</w:t>
      </w:r>
    </w:p>
    <w:p w:rsidR="00FE010F" w:rsidRDefault="00FE010F" w:rsidP="00FE010F">
      <w:pPr>
        <w:rPr>
          <w:rFonts w:ascii="Calibri" w:hAnsi="Calibri" w:cs="Calibri"/>
          <w:i/>
          <w:iCs/>
        </w:rPr>
      </w:pPr>
    </w:p>
    <w:p w:rsidR="00FE010F" w:rsidRDefault="00FE010F" w:rsidP="00FE01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Responsabile scientifica di questa edizione è </w:t>
      </w:r>
      <w:r>
        <w:rPr>
          <w:rFonts w:ascii="Arial" w:hAnsi="Arial" w:cs="Arial"/>
          <w:b/>
          <w:bCs/>
        </w:rPr>
        <w:t>Roberta Milano</w:t>
      </w:r>
      <w:r>
        <w:rPr>
          <w:rFonts w:ascii="Arial" w:hAnsi="Arial" w:cs="Arial"/>
        </w:rPr>
        <w:t>, consulente e docente universitaria che ha al suo attivo la direzione scientifica del BTO.</w:t>
      </w:r>
    </w:p>
    <w:p w:rsidR="00FE010F" w:rsidRDefault="00FE010F" w:rsidP="00FE010F">
      <w:pPr>
        <w:rPr>
          <w:rFonts w:ascii="Arial" w:hAnsi="Arial" w:cs="Arial"/>
        </w:rPr>
      </w:pPr>
      <w:r>
        <w:rPr>
          <w:rFonts w:ascii="Arial" w:hAnsi="Arial" w:cs="Arial"/>
        </w:rPr>
        <w:t>Filosofia dell’evento è quella di unire le sollecitazioni dell’accademia e della ricerca con l’operatività strategica pubblica e privata dei territori.</w:t>
      </w:r>
    </w:p>
    <w:p w:rsidR="00FE010F" w:rsidRDefault="00FE010F" w:rsidP="00FE010F">
      <w:pPr>
        <w:rPr>
          <w:rFonts w:ascii="Arial" w:hAnsi="Arial" w:cs="Arial"/>
        </w:rPr>
      </w:pPr>
      <w:r>
        <w:rPr>
          <w:rFonts w:ascii="Arial" w:hAnsi="Arial" w:cs="Arial"/>
        </w:rPr>
        <w:t>L’evento,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che gode tra gli altri anche del</w:t>
      </w:r>
      <w:r>
        <w:rPr>
          <w:rFonts w:ascii="Arial" w:hAnsi="Arial" w:cs="Arial"/>
          <w:b/>
          <w:bCs/>
        </w:rPr>
        <w:t xml:space="preserve"> patrocinio di ENIT, </w:t>
      </w:r>
      <w:r>
        <w:rPr>
          <w:rFonts w:ascii="Arial" w:hAnsi="Arial" w:cs="Arial"/>
        </w:rPr>
        <w:t xml:space="preserve">è in collaborazione con </w:t>
      </w:r>
      <w:proofErr w:type="spellStart"/>
      <w:r>
        <w:rPr>
          <w:rFonts w:ascii="Arial" w:hAnsi="Arial" w:cs="Arial"/>
        </w:rPr>
        <w:t>Aret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Pugliapromozione</w:t>
      </w:r>
      <w:proofErr w:type="spellEnd"/>
      <w:r>
        <w:rPr>
          <w:rFonts w:ascii="Arial" w:hAnsi="Arial" w:cs="Arial"/>
        </w:rPr>
        <w:t xml:space="preserve"> e Comune di Genova.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La regione ospite quest’anno sarà infatti la </w:t>
      </w:r>
      <w:r>
        <w:rPr>
          <w:rFonts w:ascii="Arial" w:hAnsi="Arial" w:cs="Arial"/>
          <w:b/>
          <w:bCs/>
        </w:rPr>
        <w:t>Puglia</w:t>
      </w:r>
      <w:r>
        <w:rPr>
          <w:rFonts w:ascii="Arial" w:hAnsi="Arial" w:cs="Arial"/>
        </w:rPr>
        <w:t xml:space="preserve">, accolta da </w:t>
      </w:r>
      <w:r>
        <w:rPr>
          <w:rFonts w:ascii="Arial" w:hAnsi="Arial" w:cs="Arial"/>
          <w:b/>
          <w:bCs/>
        </w:rPr>
        <w:t>Regione Liguria</w:t>
      </w:r>
      <w:r>
        <w:rPr>
          <w:rFonts w:ascii="Arial" w:hAnsi="Arial" w:cs="Arial"/>
        </w:rPr>
        <w:t xml:space="preserve"> e dal </w:t>
      </w:r>
      <w:r>
        <w:rPr>
          <w:rFonts w:ascii="Arial" w:hAnsi="Arial" w:cs="Arial"/>
          <w:b/>
          <w:bCs/>
        </w:rPr>
        <w:t xml:space="preserve">Comune di Genova. </w:t>
      </w:r>
      <w:r>
        <w:rPr>
          <w:rFonts w:ascii="Arial" w:hAnsi="Arial" w:cs="Arial"/>
        </w:rPr>
        <w:t xml:space="preserve">All’interno del convegno sono previsti numerosi momenti di confronto e scambio tra le esperienze dei due territori. </w:t>
      </w:r>
    </w:p>
    <w:p w:rsidR="00FE010F" w:rsidRDefault="00FE010F" w:rsidP="00FE010F">
      <w:pPr>
        <w:rPr>
          <w:rFonts w:ascii="Arial" w:hAnsi="Arial" w:cs="Arial"/>
          <w:b/>
          <w:bCs/>
        </w:rPr>
      </w:pPr>
    </w:p>
    <w:p w:rsidR="00FE010F" w:rsidRDefault="00FE010F" w:rsidP="00FE010F">
      <w:pPr>
        <w:rPr>
          <w:rFonts w:ascii="Arial" w:hAnsi="Arial" w:cs="Arial"/>
        </w:rPr>
      </w:pPr>
      <w:r>
        <w:rPr>
          <w:rFonts w:ascii="Arial" w:hAnsi="Arial" w:cs="Arial"/>
        </w:rPr>
        <w:t>Tanti i nomi di prestigio in arrivo a Genova per questo evento in programma all’</w:t>
      </w:r>
      <w:r>
        <w:rPr>
          <w:rFonts w:ascii="Arial" w:hAnsi="Arial" w:cs="Arial"/>
          <w:b/>
          <w:bCs/>
        </w:rPr>
        <w:t>Auditorium di Palazzo Rosso.</w:t>
      </w:r>
    </w:p>
    <w:p w:rsidR="00FE010F" w:rsidRDefault="00FE010F" w:rsidP="00FE010F">
      <w:pPr>
        <w:rPr>
          <w:rFonts w:ascii="Calibri" w:hAnsi="Calibri" w:cs="Calibri"/>
        </w:rPr>
      </w:pPr>
      <w:r>
        <w:rPr>
          <w:rFonts w:ascii="Arial" w:hAnsi="Arial" w:cs="Arial"/>
        </w:rPr>
        <w:t xml:space="preserve">Da </w:t>
      </w:r>
      <w:r>
        <w:rPr>
          <w:rFonts w:ascii="Arial" w:hAnsi="Arial" w:cs="Arial"/>
          <w:b/>
          <w:bCs/>
        </w:rPr>
        <w:t xml:space="preserve">Giovanni </w:t>
      </w:r>
      <w:proofErr w:type="spellStart"/>
      <w:r>
        <w:rPr>
          <w:rFonts w:ascii="Arial" w:hAnsi="Arial" w:cs="Arial"/>
          <w:b/>
          <w:bCs/>
        </w:rPr>
        <w:t>Bottiroli</w:t>
      </w:r>
      <w:proofErr w:type="spellEnd"/>
      <w:r>
        <w:rPr>
          <w:rFonts w:ascii="Arial" w:hAnsi="Arial" w:cs="Arial"/>
        </w:rPr>
        <w:t xml:space="preserve">, professore di Teoria della letteratura e docente di Estetica dell’Università di Bergamo, che aprirà il convegno con una lectio </w:t>
      </w:r>
      <w:proofErr w:type="spellStart"/>
      <w:r>
        <w:rPr>
          <w:rFonts w:ascii="Arial" w:hAnsi="Arial" w:cs="Arial"/>
        </w:rPr>
        <w:t>magistralis</w:t>
      </w:r>
      <w:proofErr w:type="spellEnd"/>
      <w:r>
        <w:rPr>
          <w:rFonts w:ascii="Arial" w:hAnsi="Arial" w:cs="Arial"/>
        </w:rPr>
        <w:t xml:space="preserve"> dal titolo </w:t>
      </w:r>
      <w:r>
        <w:rPr>
          <w:rFonts w:ascii="Arial" w:hAnsi="Arial" w:cs="Arial"/>
          <w:i/>
          <w:iCs/>
        </w:rPr>
        <w:t>“Viaggi intorno al desiderio di raccontare”</w:t>
      </w:r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  <w:b/>
          <w:bCs/>
        </w:rPr>
        <w:t>Mafe</w:t>
      </w:r>
      <w:proofErr w:type="spellEnd"/>
      <w:r>
        <w:rPr>
          <w:rFonts w:ascii="Arial" w:hAnsi="Arial" w:cs="Arial"/>
          <w:b/>
          <w:bCs/>
        </w:rPr>
        <w:t xml:space="preserve"> De </w:t>
      </w:r>
      <w:proofErr w:type="spellStart"/>
      <w:r>
        <w:rPr>
          <w:rFonts w:ascii="Arial" w:hAnsi="Arial" w:cs="Arial"/>
          <w:b/>
          <w:bCs/>
        </w:rPr>
        <w:t>Baggis</w:t>
      </w:r>
      <w:proofErr w:type="spellEnd"/>
      <w:r>
        <w:rPr>
          <w:rFonts w:ascii="Arial" w:hAnsi="Arial" w:cs="Arial"/>
        </w:rPr>
        <w:t xml:space="preserve">, Digital media </w:t>
      </w:r>
      <w:proofErr w:type="spellStart"/>
      <w:r>
        <w:rPr>
          <w:rFonts w:ascii="Arial" w:hAnsi="Arial" w:cs="Arial"/>
        </w:rPr>
        <w:t>strategtist</w:t>
      </w:r>
      <w:proofErr w:type="spellEnd"/>
      <w:r>
        <w:rPr>
          <w:rFonts w:ascii="Arial" w:hAnsi="Arial" w:cs="Arial"/>
        </w:rPr>
        <w:t xml:space="preserve"> con una lectio sullo Story design; da </w:t>
      </w:r>
      <w:r>
        <w:rPr>
          <w:rFonts w:ascii="Arial" w:hAnsi="Arial" w:cs="Arial"/>
          <w:b/>
          <w:bCs/>
        </w:rPr>
        <w:t xml:space="preserve">Paolo </w:t>
      </w:r>
      <w:proofErr w:type="spellStart"/>
      <w:r>
        <w:rPr>
          <w:rFonts w:ascii="Arial" w:hAnsi="Arial" w:cs="Arial"/>
          <w:b/>
          <w:bCs/>
        </w:rPr>
        <w:t>Iabichino</w:t>
      </w:r>
      <w:proofErr w:type="spellEnd"/>
      <w:r>
        <w:rPr>
          <w:rFonts w:ascii="Arial" w:hAnsi="Arial" w:cs="Arial"/>
        </w:rPr>
        <w:t xml:space="preserve">, docente, scrittore, pubblicitario tra i più importanti in Italia con la lectio dal titolo provocatorio: </w:t>
      </w:r>
      <w:r>
        <w:rPr>
          <w:rFonts w:ascii="Arial" w:hAnsi="Arial" w:cs="Arial"/>
          <w:i/>
          <w:iCs/>
        </w:rPr>
        <w:t>“C’era una Svolta, ogni mattina in Italia uno storyteller si sveglia e sa che dovrà correre più veloce delle sue storie, o morirà di fame”</w:t>
      </w:r>
      <w:r>
        <w:rPr>
          <w:rFonts w:ascii="Arial" w:hAnsi="Arial" w:cs="Arial"/>
        </w:rPr>
        <w:t xml:space="preserve">, alla stessa </w:t>
      </w:r>
      <w:r>
        <w:rPr>
          <w:rFonts w:ascii="Arial" w:hAnsi="Arial" w:cs="Arial"/>
          <w:b/>
          <w:bCs/>
        </w:rPr>
        <w:t>Roberta Milano</w:t>
      </w:r>
      <w:r>
        <w:t>.</w:t>
      </w:r>
    </w:p>
    <w:p w:rsidR="00FE010F" w:rsidRDefault="00FE010F" w:rsidP="00FE010F">
      <w:pPr>
        <w:rPr>
          <w:rFonts w:ascii="Arial" w:hAnsi="Arial" w:cs="Arial"/>
        </w:rPr>
      </w:pPr>
    </w:p>
    <w:p w:rsidR="00FE010F" w:rsidRDefault="00FE010F" w:rsidP="00FE01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Ospite speciale di questa edizione sarà inoltre la </w:t>
      </w:r>
      <w:r>
        <w:rPr>
          <w:rFonts w:ascii="Arial" w:hAnsi="Arial" w:cs="Arial"/>
          <w:b/>
          <w:bCs/>
        </w:rPr>
        <w:t>Fondazione Matera-Basilicata 2019</w:t>
      </w:r>
      <w:r>
        <w:rPr>
          <w:rFonts w:ascii="Arial" w:hAnsi="Arial" w:cs="Arial"/>
        </w:rPr>
        <w:t xml:space="preserve"> per </w:t>
      </w:r>
      <w:r>
        <w:rPr>
          <w:rFonts w:ascii="Arial" w:hAnsi="Arial" w:cs="Arial"/>
          <w:i/>
          <w:iCs/>
        </w:rPr>
        <w:t>Matera Capitale Europea della Cultura 2019 Open Future.</w:t>
      </w:r>
    </w:p>
    <w:p w:rsidR="00FE010F" w:rsidRDefault="00FE010F" w:rsidP="00FE010F">
      <w:pPr>
        <w:rPr>
          <w:rFonts w:ascii="Arial" w:hAnsi="Arial" w:cs="Arial"/>
        </w:rPr>
      </w:pPr>
    </w:p>
    <w:p w:rsidR="00FE010F" w:rsidRDefault="00FE010F" w:rsidP="00FE01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Il convegno è gratuito, previa registrazione sul sito </w:t>
      </w:r>
      <w:hyperlink r:id="rId8" w:history="1">
        <w:r>
          <w:rPr>
            <w:rStyle w:val="Collegamentoipertestuale"/>
            <w:rFonts w:ascii="Arial" w:hAnsi="Arial" w:cs="Arial"/>
          </w:rPr>
          <w:t>www.travelmarketingdays.it</w:t>
        </w:r>
      </w:hyperlink>
      <w:r>
        <w:rPr>
          <w:rFonts w:ascii="Arial" w:hAnsi="Arial" w:cs="Arial"/>
        </w:rPr>
        <w:t xml:space="preserve">  e riconosce 8 crediti per la formazione obbligatoria dei giornalisti e crediti formativi per i corsi di laurea in Scienze della Comunicazione e Valorizzazione dei Territori e Turismi Sostenibili dell’Università di Genova.</w:t>
      </w:r>
    </w:p>
    <w:p w:rsidR="00FE010F" w:rsidRDefault="00FE010F" w:rsidP="00FE010F">
      <w:pPr>
        <w:rPr>
          <w:rFonts w:ascii="Arial" w:hAnsi="Arial" w:cs="Arial"/>
        </w:rPr>
      </w:pPr>
    </w:p>
    <w:p w:rsidR="00FE010F" w:rsidRDefault="00FE010F" w:rsidP="00FE01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Sono molte anche le </w:t>
      </w:r>
      <w:r>
        <w:rPr>
          <w:rFonts w:ascii="Arial" w:hAnsi="Arial" w:cs="Arial"/>
          <w:b/>
          <w:bCs/>
        </w:rPr>
        <w:t>convenzioni</w:t>
      </w:r>
      <w:r>
        <w:rPr>
          <w:rFonts w:ascii="Arial" w:hAnsi="Arial" w:cs="Arial"/>
        </w:rPr>
        <w:t xml:space="preserve"> attivate con il </w:t>
      </w:r>
      <w:r>
        <w:rPr>
          <w:rFonts w:ascii="Arial" w:hAnsi="Arial" w:cs="Arial"/>
          <w:b/>
          <w:bCs/>
        </w:rPr>
        <w:t>Convention Bureau</w:t>
      </w:r>
      <w:r>
        <w:rPr>
          <w:rFonts w:ascii="Arial" w:hAnsi="Arial" w:cs="Arial"/>
        </w:rPr>
        <w:t xml:space="preserve"> e i principali partners locali attraverso le quali il congressista potrà fruire di speciali sconti. Sul sito è </w:t>
      </w:r>
      <w:r>
        <w:rPr>
          <w:rFonts w:ascii="Arial" w:hAnsi="Arial" w:cs="Arial"/>
        </w:rPr>
        <w:lastRenderedPageBreak/>
        <w:t>possibile trovare l’elenco degli hotel in convenzione, alcuni dei quali hanno aderito alla promozione 3×2 notti in linea con la volontà di costruire con l’evento un prodotto turistico nel cuore dell’autunno.</w:t>
      </w:r>
    </w:p>
    <w:p w:rsidR="00FE010F" w:rsidRDefault="00FE010F" w:rsidP="00FE010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Inoltre, i congressisti potranno presentarsi alla biglietteria di numerosi musei e attrazioni di Genova muniti di badge Travel Marketing </w:t>
      </w:r>
      <w:proofErr w:type="spellStart"/>
      <w:r>
        <w:rPr>
          <w:rFonts w:ascii="Arial" w:hAnsi="Arial" w:cs="Arial"/>
        </w:rPr>
        <w:t>Days</w:t>
      </w:r>
      <w:proofErr w:type="spellEnd"/>
      <w:r>
        <w:rPr>
          <w:rFonts w:ascii="Arial" w:hAnsi="Arial" w:cs="Arial"/>
        </w:rPr>
        <w:t xml:space="preserve"> e documento di riconoscimento per poter usufruire di ingresso a prezzo scontato.</w:t>
      </w:r>
    </w:p>
    <w:p w:rsidR="00FE010F" w:rsidRDefault="00FE010F" w:rsidP="00FE010F">
      <w:pPr>
        <w:rPr>
          <w:rFonts w:ascii="Arial" w:hAnsi="Arial" w:cs="Arial"/>
        </w:rPr>
      </w:pPr>
    </w:p>
    <w:p w:rsidR="00FE010F" w:rsidRDefault="00FE010F" w:rsidP="00FE010F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Giovedì 22 sera</w:t>
      </w:r>
      <w:r>
        <w:rPr>
          <w:rFonts w:ascii="Arial" w:hAnsi="Arial" w:cs="Arial"/>
        </w:rPr>
        <w:t xml:space="preserve">, nell’esclusiva Sala delle Cisterne di Palazzo Ducale, il </w:t>
      </w:r>
      <w:r>
        <w:rPr>
          <w:rFonts w:ascii="Arial" w:hAnsi="Arial" w:cs="Arial"/>
          <w:b/>
          <w:bCs/>
        </w:rPr>
        <w:t>Travel marketing Gala,</w:t>
      </w:r>
      <w:r>
        <w:rPr>
          <w:rFonts w:ascii="Arial" w:hAnsi="Arial" w:cs="Arial"/>
        </w:rPr>
        <w:t xml:space="preserve"> un’occasione unica aperta a tutti per approfondire la conoscenza dei territori coinvolti in questa edizione e dei loro prodotti enogastronomici di maggiore rappresentatività identitaria, eccellenza qualitativa e originalità. Venerdì sera, invece, una serata conviviale alla scoperta dei piatti tradizionali della cucina regionale ligure preparati seguendo le antiche ricette popolari al </w:t>
      </w:r>
      <w:r>
        <w:rPr>
          <w:rFonts w:ascii="Arial" w:hAnsi="Arial" w:cs="Arial"/>
          <w:b/>
          <w:bCs/>
        </w:rPr>
        <w:t>Ristorante Il Genovese</w:t>
      </w:r>
      <w:r>
        <w:rPr>
          <w:rFonts w:ascii="Arial" w:hAnsi="Arial" w:cs="Arial"/>
        </w:rPr>
        <w:t xml:space="preserve">. Prima della cena è in programma un laboratorio per la preparazione del pesto nel rispetto della più antica tradizione curato da Roberto Panizza, patron del </w:t>
      </w:r>
      <w:r>
        <w:rPr>
          <w:rFonts w:ascii="Arial" w:hAnsi="Arial" w:cs="Arial"/>
          <w:b/>
          <w:bCs/>
        </w:rPr>
        <w:t>Campionato mondiale del pesto.</w:t>
      </w:r>
    </w:p>
    <w:p w:rsidR="00FE010F" w:rsidRDefault="00FE010F" w:rsidP="00FE010F">
      <w:pPr>
        <w:rPr>
          <w:rFonts w:ascii="Arial" w:hAnsi="Arial" w:cs="Arial"/>
        </w:rPr>
      </w:pPr>
    </w:p>
    <w:p w:rsidR="00FE010F" w:rsidRDefault="00FE010F" w:rsidP="00FE010F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Sabato 24 </w:t>
      </w:r>
      <w:r>
        <w:rPr>
          <w:rFonts w:ascii="Arial" w:hAnsi="Arial" w:cs="Arial"/>
        </w:rPr>
        <w:t xml:space="preserve">novembre sarà la volta del </w:t>
      </w:r>
      <w:r>
        <w:rPr>
          <w:rFonts w:ascii="Arial" w:hAnsi="Arial" w:cs="Arial"/>
          <w:b/>
          <w:bCs/>
        </w:rPr>
        <w:t xml:space="preserve">Press Tour </w:t>
      </w:r>
      <w:r>
        <w:rPr>
          <w:rFonts w:ascii="Arial" w:hAnsi="Arial" w:cs="Arial"/>
        </w:rPr>
        <w:t xml:space="preserve">riservato a giornalisti, blogger e </w:t>
      </w:r>
      <w:proofErr w:type="spellStart"/>
      <w:r>
        <w:rPr>
          <w:rFonts w:ascii="Arial" w:hAnsi="Arial" w:cs="Arial"/>
        </w:rPr>
        <w:t>influencer</w:t>
      </w:r>
      <w:proofErr w:type="spellEnd"/>
      <w:r>
        <w:rPr>
          <w:rFonts w:ascii="Arial" w:hAnsi="Arial" w:cs="Arial"/>
        </w:rPr>
        <w:t>: un itinerario a cura del Comune di Genova alla scoperta dei luoghi protagonisti di attività di comunicazione del centro storico genovese e non solo.</w:t>
      </w:r>
      <w:r>
        <w:rPr>
          <w:rFonts w:ascii="Arial" w:hAnsi="Arial" w:cs="Arial"/>
          <w:color w:val="343A40"/>
        </w:rPr>
        <w:t xml:space="preserve"> </w:t>
      </w:r>
      <w:r>
        <w:rPr>
          <w:rFonts w:ascii="Arial" w:hAnsi="Arial" w:cs="Arial"/>
          <w:b/>
          <w:bCs/>
        </w:rPr>
        <w:t>Domenica 25</w:t>
      </w:r>
      <w:r>
        <w:rPr>
          <w:rFonts w:ascii="Arial" w:hAnsi="Arial" w:cs="Arial"/>
        </w:rPr>
        <w:t xml:space="preserve"> il </w:t>
      </w:r>
      <w:r>
        <w:rPr>
          <w:rFonts w:ascii="Arial" w:hAnsi="Arial" w:cs="Arial"/>
          <w:b/>
          <w:bCs/>
        </w:rPr>
        <w:t>Fun Tour</w:t>
      </w:r>
      <w:r>
        <w:rPr>
          <w:rFonts w:ascii="Arial" w:hAnsi="Arial" w:cs="Arial"/>
        </w:rPr>
        <w:t xml:space="preserve">: una giornata di gita “fuori porta” nel Tigullio all’insegna del relax e del divertimento insieme agli organizzatori. </w:t>
      </w:r>
    </w:p>
    <w:p w:rsidR="008E7A9C" w:rsidRPr="00935121" w:rsidRDefault="008E7A9C" w:rsidP="00935121">
      <w:bookmarkStart w:id="0" w:name="_GoBack"/>
      <w:bookmarkEnd w:id="0"/>
    </w:p>
    <w:sectPr w:rsidR="008E7A9C" w:rsidRPr="00935121" w:rsidSect="00B5127F">
      <w:headerReference w:type="default" r:id="rId9"/>
      <w:footerReference w:type="default" r:id="rId10"/>
      <w:pgSz w:w="11906" w:h="16838"/>
      <w:pgMar w:top="1463" w:right="1134" w:bottom="1134" w:left="1134" w:header="567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5BB7" w:rsidRDefault="00E45BB7" w:rsidP="00DF026E">
      <w:r>
        <w:separator/>
      </w:r>
    </w:p>
  </w:endnote>
  <w:endnote w:type="continuationSeparator" w:id="0">
    <w:p w:rsidR="00E45BB7" w:rsidRDefault="00E45BB7" w:rsidP="00DF0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26E" w:rsidRDefault="00B5127F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1" layoutInCell="1" allowOverlap="1">
          <wp:simplePos x="0" y="0"/>
          <wp:positionH relativeFrom="column">
            <wp:posOffset>140335</wp:posOffset>
          </wp:positionH>
          <wp:positionV relativeFrom="paragraph">
            <wp:posOffset>198755</wp:posOffset>
          </wp:positionV>
          <wp:extent cx="5422265" cy="590550"/>
          <wp:effectExtent l="0" t="0" r="6985" b="0"/>
          <wp:wrapTopAndBottom/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ayout-carta-intestata-0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2226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5BB7" w:rsidRDefault="00E45BB7" w:rsidP="00DF026E">
      <w:r>
        <w:separator/>
      </w:r>
    </w:p>
  </w:footnote>
  <w:footnote w:type="continuationSeparator" w:id="0">
    <w:p w:rsidR="00E45BB7" w:rsidRDefault="00E45BB7" w:rsidP="00DF0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127F" w:rsidRDefault="005115E0" w:rsidP="00DF026E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0BCFC0C2" wp14:editId="3C229683">
          <wp:simplePos x="0" y="0"/>
          <wp:positionH relativeFrom="column">
            <wp:posOffset>12700</wp:posOffset>
          </wp:positionH>
          <wp:positionV relativeFrom="page">
            <wp:posOffset>399415</wp:posOffset>
          </wp:positionV>
          <wp:extent cx="6119495" cy="739775"/>
          <wp:effectExtent l="0" t="0" r="0" b="3175"/>
          <wp:wrapTopAndBottom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-centr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739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F026E" w:rsidRPr="00DF026E" w:rsidRDefault="00DF026E" w:rsidP="00DF026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12D76"/>
    <w:multiLevelType w:val="hybridMultilevel"/>
    <w:tmpl w:val="ABAEA7FC"/>
    <w:lvl w:ilvl="0" w:tplc="788E56A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23EAB"/>
    <w:multiLevelType w:val="hybridMultilevel"/>
    <w:tmpl w:val="D61200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D7CE0"/>
    <w:multiLevelType w:val="hybridMultilevel"/>
    <w:tmpl w:val="D84EA290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27562E"/>
    <w:multiLevelType w:val="hybridMultilevel"/>
    <w:tmpl w:val="DF90538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19626BF"/>
    <w:multiLevelType w:val="hybridMultilevel"/>
    <w:tmpl w:val="6D12B6A6"/>
    <w:lvl w:ilvl="0" w:tplc="788E56A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F71236"/>
    <w:multiLevelType w:val="hybridMultilevel"/>
    <w:tmpl w:val="846CB7DC"/>
    <w:lvl w:ilvl="0" w:tplc="0410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FF03BB"/>
    <w:multiLevelType w:val="hybridMultilevel"/>
    <w:tmpl w:val="94C8567A"/>
    <w:lvl w:ilvl="0" w:tplc="788E56A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0D7B1E"/>
    <w:multiLevelType w:val="hybridMultilevel"/>
    <w:tmpl w:val="F5A0B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843D2C"/>
    <w:multiLevelType w:val="hybridMultilevel"/>
    <w:tmpl w:val="E4F061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5B4FF2"/>
    <w:multiLevelType w:val="hybridMultilevel"/>
    <w:tmpl w:val="48F0B248"/>
    <w:lvl w:ilvl="0" w:tplc="1A2C791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68341FE"/>
    <w:multiLevelType w:val="hybridMultilevel"/>
    <w:tmpl w:val="D2F826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D02324"/>
    <w:multiLevelType w:val="hybridMultilevel"/>
    <w:tmpl w:val="29C2504E"/>
    <w:lvl w:ilvl="0" w:tplc="ED6020A2">
      <w:start w:val="14"/>
      <w:numFmt w:val="bullet"/>
      <w:lvlText w:val="-"/>
      <w:lvlJc w:val="left"/>
      <w:pPr>
        <w:ind w:left="720" w:hanging="360"/>
      </w:pPr>
      <w:rPr>
        <w:rFonts w:ascii="Proxima Nova" w:eastAsiaTheme="minorHAnsi" w:hAnsi="Proxima Nov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619B0"/>
    <w:multiLevelType w:val="hybridMultilevel"/>
    <w:tmpl w:val="49BC1F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F96110"/>
    <w:multiLevelType w:val="hybridMultilevel"/>
    <w:tmpl w:val="DDF462D6"/>
    <w:lvl w:ilvl="0" w:tplc="788E56A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994E32"/>
    <w:multiLevelType w:val="hybridMultilevel"/>
    <w:tmpl w:val="1D247392"/>
    <w:lvl w:ilvl="0" w:tplc="788E56A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366E3E"/>
    <w:multiLevelType w:val="hybridMultilevel"/>
    <w:tmpl w:val="3530D66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BE649A"/>
    <w:multiLevelType w:val="hybridMultilevel"/>
    <w:tmpl w:val="571A0B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531584"/>
    <w:multiLevelType w:val="hybridMultilevel"/>
    <w:tmpl w:val="4CB062E0"/>
    <w:lvl w:ilvl="0" w:tplc="788E56A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684E00"/>
    <w:multiLevelType w:val="hybridMultilevel"/>
    <w:tmpl w:val="5AE0BB88"/>
    <w:lvl w:ilvl="0" w:tplc="788E56AC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B373383"/>
    <w:multiLevelType w:val="hybridMultilevel"/>
    <w:tmpl w:val="C68A1FCA"/>
    <w:lvl w:ilvl="0" w:tplc="788E56A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BA58B7"/>
    <w:multiLevelType w:val="hybridMultilevel"/>
    <w:tmpl w:val="C99C15B0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C785C16"/>
    <w:multiLevelType w:val="hybridMultilevel"/>
    <w:tmpl w:val="C3D4406A"/>
    <w:lvl w:ilvl="0" w:tplc="788E56A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EC2C40"/>
    <w:multiLevelType w:val="hybridMultilevel"/>
    <w:tmpl w:val="BB9265BA"/>
    <w:lvl w:ilvl="0" w:tplc="0410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7DD77522"/>
    <w:multiLevelType w:val="hybridMultilevel"/>
    <w:tmpl w:val="EE2497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8A4C2D"/>
    <w:multiLevelType w:val="hybridMultilevel"/>
    <w:tmpl w:val="50D46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"/>
  </w:num>
  <w:num w:numId="4">
    <w:abstractNumId w:val="12"/>
  </w:num>
  <w:num w:numId="5">
    <w:abstractNumId w:val="15"/>
  </w:num>
  <w:num w:numId="6">
    <w:abstractNumId w:val="7"/>
  </w:num>
  <w:num w:numId="7">
    <w:abstractNumId w:val="8"/>
  </w:num>
  <w:num w:numId="8">
    <w:abstractNumId w:val="2"/>
  </w:num>
  <w:num w:numId="9">
    <w:abstractNumId w:val="5"/>
  </w:num>
  <w:num w:numId="10">
    <w:abstractNumId w:val="3"/>
  </w:num>
  <w:num w:numId="11">
    <w:abstractNumId w:val="16"/>
  </w:num>
  <w:num w:numId="12">
    <w:abstractNumId w:val="11"/>
  </w:num>
  <w:num w:numId="13">
    <w:abstractNumId w:val="22"/>
  </w:num>
  <w:num w:numId="14">
    <w:abstractNumId w:val="20"/>
  </w:num>
  <w:num w:numId="15">
    <w:abstractNumId w:val="19"/>
  </w:num>
  <w:num w:numId="16">
    <w:abstractNumId w:val="18"/>
  </w:num>
  <w:num w:numId="17">
    <w:abstractNumId w:val="9"/>
  </w:num>
  <w:num w:numId="18">
    <w:abstractNumId w:val="0"/>
  </w:num>
  <w:num w:numId="19">
    <w:abstractNumId w:val="6"/>
  </w:num>
  <w:num w:numId="20">
    <w:abstractNumId w:val="13"/>
  </w:num>
  <w:num w:numId="21">
    <w:abstractNumId w:val="14"/>
  </w:num>
  <w:num w:numId="22">
    <w:abstractNumId w:val="4"/>
  </w:num>
  <w:num w:numId="23">
    <w:abstractNumId w:val="17"/>
  </w:num>
  <w:num w:numId="24">
    <w:abstractNumId w:val="21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26E"/>
    <w:rsid w:val="0001328F"/>
    <w:rsid w:val="000B79C8"/>
    <w:rsid w:val="000E3A67"/>
    <w:rsid w:val="001E2420"/>
    <w:rsid w:val="002770FD"/>
    <w:rsid w:val="003469B3"/>
    <w:rsid w:val="003D7D44"/>
    <w:rsid w:val="003E76DE"/>
    <w:rsid w:val="00435DA5"/>
    <w:rsid w:val="004D72CF"/>
    <w:rsid w:val="004F3A20"/>
    <w:rsid w:val="005115E0"/>
    <w:rsid w:val="005A7B7C"/>
    <w:rsid w:val="00675530"/>
    <w:rsid w:val="006C0161"/>
    <w:rsid w:val="007D7AA5"/>
    <w:rsid w:val="007F5B93"/>
    <w:rsid w:val="008E7A9C"/>
    <w:rsid w:val="00935121"/>
    <w:rsid w:val="009351D9"/>
    <w:rsid w:val="009E6ECA"/>
    <w:rsid w:val="00AF1672"/>
    <w:rsid w:val="00B5127F"/>
    <w:rsid w:val="00C34039"/>
    <w:rsid w:val="00CA57A6"/>
    <w:rsid w:val="00CB4265"/>
    <w:rsid w:val="00CE73C3"/>
    <w:rsid w:val="00DC3049"/>
    <w:rsid w:val="00DF026E"/>
    <w:rsid w:val="00E45BB7"/>
    <w:rsid w:val="00EE6582"/>
    <w:rsid w:val="00EF2D8B"/>
    <w:rsid w:val="00F26E1A"/>
    <w:rsid w:val="00FE0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|"/>
  <w15:chartTrackingRefBased/>
  <w15:docId w15:val="{E4C24396-515F-489F-BC41-CA91F1574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C3049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026E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026E"/>
  </w:style>
  <w:style w:type="paragraph" w:styleId="Pidipagina">
    <w:name w:val="footer"/>
    <w:basedOn w:val="Normale"/>
    <w:link w:val="PidipaginaCarattere"/>
    <w:uiPriority w:val="99"/>
    <w:unhideWhenUsed/>
    <w:rsid w:val="00DF026E"/>
    <w:pPr>
      <w:tabs>
        <w:tab w:val="center" w:pos="4819"/>
        <w:tab w:val="right" w:pos="9638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026E"/>
  </w:style>
  <w:style w:type="paragraph" w:styleId="NormaleWeb">
    <w:name w:val="Normal (Web)"/>
    <w:basedOn w:val="Normale"/>
    <w:uiPriority w:val="99"/>
    <w:unhideWhenUsed/>
    <w:rsid w:val="00B5127F"/>
    <w:pPr>
      <w:spacing w:before="100" w:beforeAutospacing="1" w:after="100" w:afterAutospacing="1"/>
    </w:pPr>
    <w:rPr>
      <w:rFonts w:eastAsia="Times New Roman"/>
    </w:rPr>
  </w:style>
  <w:style w:type="paragraph" w:styleId="Paragrafoelenco">
    <w:name w:val="List Paragraph"/>
    <w:basedOn w:val="Normale"/>
    <w:uiPriority w:val="34"/>
    <w:qFormat/>
    <w:rsid w:val="007F5B93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4265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4265"/>
    <w:rPr>
      <w:rFonts w:ascii="Segoe UI" w:hAnsi="Segoe UI" w:cs="Segoe UI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DC3049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FE010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3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velmarketingdays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8BE8C-5E3E-48E7-BB8E-769031D27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Damonte</dc:creator>
  <cp:keywords/>
  <dc:description/>
  <cp:lastModifiedBy>Enrico Piras</cp:lastModifiedBy>
  <cp:revision>2</cp:revision>
  <cp:lastPrinted>2017-09-20T15:42:00Z</cp:lastPrinted>
  <dcterms:created xsi:type="dcterms:W3CDTF">2018-11-16T18:19:00Z</dcterms:created>
  <dcterms:modified xsi:type="dcterms:W3CDTF">2018-11-16T18:19:00Z</dcterms:modified>
</cp:coreProperties>
</file>